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8DEF" w14:textId="77777777" w:rsidR="00BF7C9D" w:rsidRDefault="00BF7C9D" w:rsidP="002231C1">
      <w:pPr>
        <w:jc w:val="center"/>
        <w:rPr>
          <w:b/>
          <w:bCs/>
          <w:sz w:val="32"/>
          <w:szCs w:val="32"/>
        </w:rPr>
      </w:pPr>
    </w:p>
    <w:p w14:paraId="69A4150D" w14:textId="5777D94F" w:rsidR="002231C1" w:rsidRDefault="002231C1" w:rsidP="002231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 Sheet Canvas</w:t>
      </w:r>
    </w:p>
    <w:p w14:paraId="6224CA11" w14:textId="094738B3" w:rsidR="00BB1B4D" w:rsidRDefault="00BB1B4D" w:rsidP="002231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0D328F">
        <w:rPr>
          <w:b/>
          <w:bCs/>
          <w:sz w:val="32"/>
          <w:szCs w:val="32"/>
        </w:rPr>
        <w:t>Loon Creek Capital Group</w:t>
      </w:r>
      <w:r>
        <w:rPr>
          <w:b/>
          <w:bCs/>
          <w:sz w:val="32"/>
          <w:szCs w:val="32"/>
        </w:rPr>
        <w:t xml:space="preserve">, September </w:t>
      </w:r>
      <w:r w:rsidR="0043647B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>, 2021)</w:t>
      </w:r>
    </w:p>
    <w:p w14:paraId="3D0E90DE" w14:textId="79BE9280" w:rsidR="00061BB8" w:rsidRPr="000D1E9C" w:rsidRDefault="001A28F3" w:rsidP="000D1E9C">
      <w:pPr>
        <w:jc w:val="center"/>
        <w:rPr>
          <w:b/>
          <w:bCs/>
          <w:color w:val="0563C1" w:themeColor="hyperlink"/>
          <w:sz w:val="28"/>
          <w:szCs w:val="28"/>
          <w:u w:val="single"/>
        </w:rPr>
      </w:pPr>
      <w:hyperlink r:id="rId6" w:history="1">
        <w:r w:rsidR="000334AD" w:rsidRPr="00820F56">
          <w:rPr>
            <w:rStyle w:val="Hyperlink"/>
            <w:b/>
            <w:bCs/>
            <w:sz w:val="28"/>
            <w:szCs w:val="28"/>
          </w:rPr>
          <w:t>kevin@looncreekcapital.com</w:t>
        </w:r>
      </w:hyperlink>
    </w:p>
    <w:p w14:paraId="442D4ABA" w14:textId="1898883B" w:rsidR="002231C1" w:rsidRDefault="002231C1"/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508"/>
        <w:gridCol w:w="2715"/>
        <w:gridCol w:w="532"/>
        <w:gridCol w:w="2697"/>
        <w:gridCol w:w="545"/>
        <w:gridCol w:w="2681"/>
        <w:gridCol w:w="560"/>
        <w:gridCol w:w="2666"/>
      </w:tblGrid>
      <w:tr w:rsidR="002231C1" w14:paraId="7E0340F0" w14:textId="77777777" w:rsidTr="0050555F">
        <w:tc>
          <w:tcPr>
            <w:tcW w:w="25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432772" w14:textId="60D40103" w:rsidR="002231C1" w:rsidRPr="002231C1" w:rsidRDefault="002231C1">
            <w:pPr>
              <w:rPr>
                <w:b/>
                <w:bCs/>
              </w:rPr>
            </w:pPr>
            <w:r>
              <w:rPr>
                <w:b/>
                <w:bCs/>
              </w:rPr>
              <w:t>Company: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D20FF" w14:textId="712FC091" w:rsidR="002231C1" w:rsidRPr="002231C1" w:rsidRDefault="002231C1">
            <w:pPr>
              <w:rPr>
                <w:b/>
                <w:bCs/>
              </w:rPr>
            </w:pPr>
            <w:r>
              <w:rPr>
                <w:b/>
                <w:bCs/>
              </w:rPr>
              <w:t>Reviewer: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7B5B9" w14:textId="1F1780A5" w:rsidR="002231C1" w:rsidRPr="002231C1" w:rsidRDefault="002231C1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D71358" w14:paraId="09C13F41" w14:textId="77777777" w:rsidTr="0050555F">
        <w:trPr>
          <w:trHeight w:val="370"/>
        </w:trPr>
        <w:tc>
          <w:tcPr>
            <w:tcW w:w="124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F2302" w14:textId="11DD95E4" w:rsidR="00D71358" w:rsidRPr="00D71358" w:rsidRDefault="00D71358" w:rsidP="00D7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Deal Economics</w:t>
            </w:r>
          </w:p>
        </w:tc>
        <w:tc>
          <w:tcPr>
            <w:tcW w:w="125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824F4" w14:textId="77777777" w:rsidR="00D71358" w:rsidRDefault="00D71358" w:rsidP="00223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Management &amp; Control</w:t>
            </w:r>
          </w:p>
          <w:p w14:paraId="544EEC40" w14:textId="4ABEF678" w:rsidR="00D71358" w:rsidRPr="002231C1" w:rsidRDefault="00D71358" w:rsidP="002231C1">
            <w:pPr>
              <w:jc w:val="center"/>
            </w:pP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A3BFF" w14:textId="35A51A43" w:rsidR="00D71358" w:rsidRPr="002231C1" w:rsidRDefault="00D71358" w:rsidP="0050555F">
            <w:pPr>
              <w:jc w:val="center"/>
            </w:pPr>
            <w:r>
              <w:rPr>
                <w:b/>
                <w:bCs/>
              </w:rPr>
              <w:t>Investor Rights &amp; Protection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CA34A" w14:textId="19ED5894" w:rsidR="00D71358" w:rsidRPr="002231C1" w:rsidRDefault="00D71358" w:rsidP="0050555F">
            <w:pPr>
              <w:jc w:val="center"/>
            </w:pPr>
            <w:r>
              <w:rPr>
                <w:b/>
                <w:bCs/>
              </w:rPr>
              <w:t>Exits &amp; Liquidity</w:t>
            </w:r>
          </w:p>
        </w:tc>
      </w:tr>
      <w:tr w:rsidR="00D71358" w14:paraId="291ADF0D" w14:textId="77777777" w:rsidTr="0050555F">
        <w:trPr>
          <w:trHeight w:val="369"/>
        </w:trPr>
        <w:tc>
          <w:tcPr>
            <w:tcW w:w="124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F2B3C" w14:textId="086E7DD2" w:rsidR="00D71358" w:rsidRDefault="00D71358" w:rsidP="00D71358">
            <w:pPr>
              <w:rPr>
                <w:b/>
                <w:bCs/>
              </w:rPr>
            </w:pPr>
            <w:r>
              <w:t>Can we make money on this deal?</w:t>
            </w:r>
          </w:p>
        </w:tc>
        <w:tc>
          <w:tcPr>
            <w:tcW w:w="125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A62C7" w14:textId="516FAC20" w:rsidR="00D71358" w:rsidRPr="00BB1B4D" w:rsidRDefault="00BB1B4D" w:rsidP="00D71358">
            <w:r w:rsidRPr="00BB1B4D">
              <w:t>Will we know what’s going on, have a say in decisions and control founder behavior?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C5F28" w14:textId="3EE77726" w:rsidR="00D71358" w:rsidRPr="00D71358" w:rsidRDefault="00D71358" w:rsidP="00D71358">
            <w:r>
              <w:t>Are we adequately protected against future dilution?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C5450" w14:textId="77777777" w:rsidR="00D71358" w:rsidRDefault="00D71358" w:rsidP="0050555F">
            <w:r>
              <w:t>Will we participate in any liquidity event?</w:t>
            </w:r>
          </w:p>
          <w:p w14:paraId="3ACB6CD4" w14:textId="77777777" w:rsidR="00D71358" w:rsidRDefault="00D71358" w:rsidP="00D71358">
            <w:pPr>
              <w:rPr>
                <w:b/>
                <w:bCs/>
              </w:rPr>
            </w:pPr>
          </w:p>
        </w:tc>
      </w:tr>
      <w:tr w:rsidR="0050555F" w14:paraId="0485A7E7" w14:textId="77777777" w:rsidTr="0050555F">
        <w:tc>
          <w:tcPr>
            <w:tcW w:w="19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DDDD2C" w14:textId="77777777" w:rsidR="0050555F" w:rsidRDefault="0050555F"/>
        </w:tc>
        <w:tc>
          <w:tcPr>
            <w:tcW w:w="10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A44D45" w14:textId="64C46236" w:rsidR="0050555F" w:rsidRDefault="0050555F">
            <w:r>
              <w:t>Size of round</w:t>
            </w:r>
          </w:p>
        </w:tc>
        <w:tc>
          <w:tcPr>
            <w:tcW w:w="206" w:type="pct"/>
            <w:tcBorders>
              <w:top w:val="single" w:sz="18" w:space="0" w:color="auto"/>
              <w:left w:val="single" w:sz="18" w:space="0" w:color="auto"/>
            </w:tcBorders>
          </w:tcPr>
          <w:p w14:paraId="45040BCD" w14:textId="77777777" w:rsidR="0050555F" w:rsidRDefault="0050555F"/>
        </w:tc>
        <w:tc>
          <w:tcPr>
            <w:tcW w:w="10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3533CC" w14:textId="1920BCB0" w:rsidR="0050555F" w:rsidRDefault="0050555F">
            <w:r>
              <w:t>Board seats &amp; control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D5B660" w14:textId="77777777" w:rsidR="0050555F" w:rsidRDefault="0050555F"/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10E9E1" w14:textId="7A4DDF29" w:rsidR="0050555F" w:rsidRDefault="0050555F">
            <w:r>
              <w:t>Approval rights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DA8AB5" w14:textId="77777777" w:rsidR="0050555F" w:rsidRDefault="0050555F"/>
        </w:tc>
        <w:tc>
          <w:tcPr>
            <w:tcW w:w="10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E9559A" w14:textId="57ECCA56" w:rsidR="0050555F" w:rsidRDefault="0050555F">
            <w:r>
              <w:t>Right to block founder transfers</w:t>
            </w:r>
          </w:p>
        </w:tc>
      </w:tr>
      <w:tr w:rsidR="0050555F" w14:paraId="1F645CA5" w14:textId="77777777" w:rsidTr="0050555F">
        <w:tc>
          <w:tcPr>
            <w:tcW w:w="197" w:type="pct"/>
            <w:tcBorders>
              <w:left w:val="single" w:sz="18" w:space="0" w:color="auto"/>
              <w:right w:val="single" w:sz="18" w:space="0" w:color="auto"/>
            </w:tcBorders>
          </w:tcPr>
          <w:p w14:paraId="116C3361" w14:textId="77777777" w:rsidR="0050555F" w:rsidRDefault="0050555F"/>
        </w:tc>
        <w:tc>
          <w:tcPr>
            <w:tcW w:w="1052" w:type="pct"/>
            <w:tcBorders>
              <w:left w:val="single" w:sz="18" w:space="0" w:color="auto"/>
              <w:right w:val="single" w:sz="18" w:space="0" w:color="auto"/>
            </w:tcBorders>
          </w:tcPr>
          <w:p w14:paraId="1686E9D0" w14:textId="394ADF1C" w:rsidR="0050555F" w:rsidRDefault="0050555F">
            <w:r>
              <w:t>Pre-money valuation</w:t>
            </w:r>
            <w:r w:rsidR="002D5497">
              <w:t xml:space="preserve"> or cap on conversion price</w:t>
            </w:r>
          </w:p>
        </w:tc>
        <w:tc>
          <w:tcPr>
            <w:tcW w:w="206" w:type="pct"/>
            <w:tcBorders>
              <w:left w:val="single" w:sz="18" w:space="0" w:color="auto"/>
            </w:tcBorders>
          </w:tcPr>
          <w:p w14:paraId="4502543C" w14:textId="77777777" w:rsidR="0050555F" w:rsidRDefault="0050555F"/>
        </w:tc>
        <w:tc>
          <w:tcPr>
            <w:tcW w:w="1045" w:type="pct"/>
            <w:tcBorders>
              <w:left w:val="single" w:sz="18" w:space="0" w:color="auto"/>
              <w:right w:val="single" w:sz="18" w:space="0" w:color="auto"/>
            </w:tcBorders>
          </w:tcPr>
          <w:p w14:paraId="50C4A06F" w14:textId="67033924" w:rsidR="0050555F" w:rsidRDefault="0050555F">
            <w:r>
              <w:t>Information rights</w:t>
            </w:r>
          </w:p>
        </w:tc>
        <w:tc>
          <w:tcPr>
            <w:tcW w:w="211" w:type="pct"/>
            <w:tcBorders>
              <w:left w:val="single" w:sz="18" w:space="0" w:color="auto"/>
              <w:right w:val="single" w:sz="18" w:space="0" w:color="auto"/>
            </w:tcBorders>
          </w:tcPr>
          <w:p w14:paraId="7FB47BB0" w14:textId="77777777" w:rsidR="0050555F" w:rsidRDefault="0050555F"/>
        </w:tc>
        <w:tc>
          <w:tcPr>
            <w:tcW w:w="1039" w:type="pct"/>
            <w:tcBorders>
              <w:left w:val="single" w:sz="18" w:space="0" w:color="auto"/>
              <w:right w:val="single" w:sz="18" w:space="0" w:color="auto"/>
            </w:tcBorders>
          </w:tcPr>
          <w:p w14:paraId="224BB44B" w14:textId="3186B78C" w:rsidR="0050555F" w:rsidRDefault="0050555F">
            <w:r>
              <w:t>Participation rights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14:paraId="6D4CDBE0" w14:textId="77777777" w:rsidR="0050555F" w:rsidRDefault="0050555F"/>
        </w:tc>
        <w:tc>
          <w:tcPr>
            <w:tcW w:w="1033" w:type="pct"/>
            <w:tcBorders>
              <w:left w:val="single" w:sz="18" w:space="0" w:color="auto"/>
              <w:right w:val="single" w:sz="18" w:space="0" w:color="auto"/>
            </w:tcBorders>
          </w:tcPr>
          <w:p w14:paraId="4D505F49" w14:textId="461760AC" w:rsidR="0050555F" w:rsidRDefault="0050555F">
            <w:r>
              <w:t>Drag-along rights</w:t>
            </w:r>
          </w:p>
        </w:tc>
      </w:tr>
      <w:tr w:rsidR="0050555F" w14:paraId="380C7418" w14:textId="77777777" w:rsidTr="0050555F">
        <w:tc>
          <w:tcPr>
            <w:tcW w:w="197" w:type="pct"/>
            <w:tcBorders>
              <w:left w:val="single" w:sz="18" w:space="0" w:color="auto"/>
              <w:right w:val="single" w:sz="18" w:space="0" w:color="auto"/>
            </w:tcBorders>
          </w:tcPr>
          <w:p w14:paraId="3D561674" w14:textId="77777777" w:rsidR="0050555F" w:rsidRDefault="0050555F"/>
        </w:tc>
        <w:tc>
          <w:tcPr>
            <w:tcW w:w="1052" w:type="pct"/>
            <w:tcBorders>
              <w:left w:val="single" w:sz="18" w:space="0" w:color="auto"/>
              <w:right w:val="single" w:sz="18" w:space="0" w:color="auto"/>
            </w:tcBorders>
          </w:tcPr>
          <w:p w14:paraId="6842F9B6" w14:textId="717582BA" w:rsidR="0050555F" w:rsidRDefault="0050555F">
            <w:r>
              <w:t>Liquidation preference</w:t>
            </w:r>
          </w:p>
        </w:tc>
        <w:tc>
          <w:tcPr>
            <w:tcW w:w="206" w:type="pct"/>
            <w:tcBorders>
              <w:left w:val="single" w:sz="18" w:space="0" w:color="auto"/>
            </w:tcBorders>
          </w:tcPr>
          <w:p w14:paraId="437BE4AC" w14:textId="77777777" w:rsidR="0050555F" w:rsidRDefault="0050555F"/>
        </w:tc>
        <w:tc>
          <w:tcPr>
            <w:tcW w:w="1045" w:type="pct"/>
            <w:tcBorders>
              <w:left w:val="single" w:sz="18" w:space="0" w:color="auto"/>
              <w:right w:val="single" w:sz="18" w:space="0" w:color="auto"/>
            </w:tcBorders>
          </w:tcPr>
          <w:p w14:paraId="6C7297CD" w14:textId="1F5AC9D3" w:rsidR="0050555F" w:rsidRDefault="0050555F">
            <w:r>
              <w:t>Founder vesting</w:t>
            </w:r>
          </w:p>
        </w:tc>
        <w:tc>
          <w:tcPr>
            <w:tcW w:w="211" w:type="pct"/>
            <w:tcBorders>
              <w:left w:val="single" w:sz="18" w:space="0" w:color="auto"/>
              <w:right w:val="single" w:sz="18" w:space="0" w:color="auto"/>
            </w:tcBorders>
          </w:tcPr>
          <w:p w14:paraId="1A39A41E" w14:textId="77777777" w:rsidR="0050555F" w:rsidRDefault="0050555F"/>
        </w:tc>
        <w:tc>
          <w:tcPr>
            <w:tcW w:w="1039" w:type="pct"/>
            <w:tcBorders>
              <w:left w:val="single" w:sz="18" w:space="0" w:color="auto"/>
              <w:right w:val="single" w:sz="18" w:space="0" w:color="auto"/>
            </w:tcBorders>
          </w:tcPr>
          <w:p w14:paraId="033687C4" w14:textId="4A06DDC7" w:rsidR="0050555F" w:rsidRDefault="0050555F">
            <w:r>
              <w:t>Anti-dilution rights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14:paraId="27CCCC57" w14:textId="77777777" w:rsidR="0050555F" w:rsidRDefault="0050555F"/>
        </w:tc>
        <w:tc>
          <w:tcPr>
            <w:tcW w:w="1033" w:type="pct"/>
            <w:tcBorders>
              <w:left w:val="single" w:sz="18" w:space="0" w:color="auto"/>
              <w:right w:val="single" w:sz="18" w:space="0" w:color="auto"/>
            </w:tcBorders>
          </w:tcPr>
          <w:p w14:paraId="5E031A15" w14:textId="4969B940" w:rsidR="0050555F" w:rsidRDefault="0050555F">
            <w:r>
              <w:t>Redemption rights</w:t>
            </w:r>
          </w:p>
        </w:tc>
      </w:tr>
      <w:tr w:rsidR="0050555F" w14:paraId="39B2EC79" w14:textId="77777777" w:rsidTr="0050555F">
        <w:tc>
          <w:tcPr>
            <w:tcW w:w="197" w:type="pct"/>
            <w:tcBorders>
              <w:left w:val="single" w:sz="18" w:space="0" w:color="auto"/>
              <w:right w:val="single" w:sz="18" w:space="0" w:color="auto"/>
            </w:tcBorders>
          </w:tcPr>
          <w:p w14:paraId="31B2CE1E" w14:textId="77777777" w:rsidR="0050555F" w:rsidRDefault="0050555F"/>
        </w:tc>
        <w:tc>
          <w:tcPr>
            <w:tcW w:w="1052" w:type="pct"/>
            <w:tcBorders>
              <w:left w:val="single" w:sz="18" w:space="0" w:color="auto"/>
              <w:right w:val="single" w:sz="18" w:space="0" w:color="auto"/>
            </w:tcBorders>
          </w:tcPr>
          <w:p w14:paraId="45555FA1" w14:textId="097D7B35" w:rsidR="0050555F" w:rsidRDefault="0050555F">
            <w:r>
              <w:t>Option pool</w:t>
            </w:r>
          </w:p>
        </w:tc>
        <w:tc>
          <w:tcPr>
            <w:tcW w:w="206" w:type="pct"/>
            <w:tcBorders>
              <w:left w:val="single" w:sz="18" w:space="0" w:color="auto"/>
            </w:tcBorders>
          </w:tcPr>
          <w:p w14:paraId="50EA5CD2" w14:textId="77777777" w:rsidR="0050555F" w:rsidRDefault="0050555F"/>
        </w:tc>
        <w:tc>
          <w:tcPr>
            <w:tcW w:w="1045" w:type="pct"/>
            <w:tcBorders>
              <w:left w:val="single" w:sz="18" w:space="0" w:color="auto"/>
              <w:right w:val="single" w:sz="18" w:space="0" w:color="auto"/>
            </w:tcBorders>
          </w:tcPr>
          <w:p w14:paraId="774276CE" w14:textId="0A2F13FA" w:rsidR="0050555F" w:rsidRDefault="0050555F">
            <w:r>
              <w:t>IP assignment</w:t>
            </w:r>
          </w:p>
        </w:tc>
        <w:tc>
          <w:tcPr>
            <w:tcW w:w="211" w:type="pct"/>
            <w:tcBorders>
              <w:left w:val="single" w:sz="18" w:space="0" w:color="auto"/>
              <w:right w:val="single" w:sz="18" w:space="0" w:color="auto"/>
            </w:tcBorders>
          </w:tcPr>
          <w:p w14:paraId="1D4927E7" w14:textId="77777777" w:rsidR="0050555F" w:rsidRDefault="0050555F"/>
        </w:tc>
        <w:tc>
          <w:tcPr>
            <w:tcW w:w="1039" w:type="pct"/>
            <w:tcBorders>
              <w:left w:val="single" w:sz="18" w:space="0" w:color="auto"/>
              <w:right w:val="single" w:sz="18" w:space="0" w:color="auto"/>
            </w:tcBorders>
          </w:tcPr>
          <w:p w14:paraId="4BD4BC70" w14:textId="042E1AC2" w:rsidR="0050555F" w:rsidRDefault="0050555F">
            <w:r>
              <w:t>ROFR &amp; Co-sale rights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14:paraId="227C9B05" w14:textId="77777777" w:rsidR="0050555F" w:rsidRDefault="0050555F"/>
        </w:tc>
        <w:tc>
          <w:tcPr>
            <w:tcW w:w="1033" w:type="pct"/>
            <w:tcBorders>
              <w:left w:val="single" w:sz="18" w:space="0" w:color="auto"/>
              <w:right w:val="single" w:sz="18" w:space="0" w:color="auto"/>
            </w:tcBorders>
          </w:tcPr>
          <w:p w14:paraId="3B4DFB6A" w14:textId="2AFFC007" w:rsidR="0050555F" w:rsidRDefault="0050555F">
            <w:r>
              <w:t>Registration rights</w:t>
            </w:r>
          </w:p>
        </w:tc>
      </w:tr>
      <w:tr w:rsidR="0050555F" w14:paraId="7A511DFE" w14:textId="77777777" w:rsidTr="0050555F">
        <w:tc>
          <w:tcPr>
            <w:tcW w:w="197" w:type="pct"/>
            <w:tcBorders>
              <w:left w:val="single" w:sz="18" w:space="0" w:color="auto"/>
              <w:right w:val="single" w:sz="18" w:space="0" w:color="auto"/>
            </w:tcBorders>
          </w:tcPr>
          <w:p w14:paraId="030C93F6" w14:textId="77777777" w:rsidR="0050555F" w:rsidRDefault="0050555F"/>
        </w:tc>
        <w:tc>
          <w:tcPr>
            <w:tcW w:w="1052" w:type="pct"/>
            <w:tcBorders>
              <w:left w:val="single" w:sz="18" w:space="0" w:color="auto"/>
              <w:right w:val="single" w:sz="18" w:space="0" w:color="auto"/>
            </w:tcBorders>
          </w:tcPr>
          <w:p w14:paraId="2026A511" w14:textId="02FECA40" w:rsidR="0050555F" w:rsidRDefault="0050555F">
            <w:r>
              <w:t>Dividends</w:t>
            </w:r>
          </w:p>
        </w:tc>
        <w:tc>
          <w:tcPr>
            <w:tcW w:w="206" w:type="pct"/>
            <w:tcBorders>
              <w:left w:val="single" w:sz="18" w:space="0" w:color="auto"/>
            </w:tcBorders>
          </w:tcPr>
          <w:p w14:paraId="09151211" w14:textId="77777777" w:rsidR="0050555F" w:rsidRDefault="0050555F"/>
        </w:tc>
        <w:tc>
          <w:tcPr>
            <w:tcW w:w="1045" w:type="pct"/>
            <w:tcBorders>
              <w:left w:val="single" w:sz="18" w:space="0" w:color="auto"/>
              <w:right w:val="single" w:sz="18" w:space="0" w:color="auto"/>
            </w:tcBorders>
          </w:tcPr>
          <w:p w14:paraId="05973F1E" w14:textId="08182B12" w:rsidR="0050555F" w:rsidRDefault="0050555F">
            <w:r>
              <w:t>Non-compete</w:t>
            </w:r>
          </w:p>
        </w:tc>
        <w:tc>
          <w:tcPr>
            <w:tcW w:w="211" w:type="pct"/>
            <w:tcBorders>
              <w:left w:val="single" w:sz="18" w:space="0" w:color="auto"/>
              <w:right w:val="single" w:sz="18" w:space="0" w:color="auto"/>
            </w:tcBorders>
          </w:tcPr>
          <w:p w14:paraId="2EA26E08" w14:textId="77777777" w:rsidR="0050555F" w:rsidRDefault="0050555F"/>
        </w:tc>
        <w:tc>
          <w:tcPr>
            <w:tcW w:w="1039" w:type="pct"/>
            <w:tcBorders>
              <w:left w:val="single" w:sz="18" w:space="0" w:color="auto"/>
              <w:right w:val="single" w:sz="18" w:space="0" w:color="auto"/>
            </w:tcBorders>
          </w:tcPr>
          <w:p w14:paraId="165D0F62" w14:textId="2DB06D29" w:rsidR="0050555F" w:rsidRDefault="0050555F">
            <w:r>
              <w:t>Future rights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14:paraId="6657A4AC" w14:textId="77777777" w:rsidR="0050555F" w:rsidRDefault="0050555F"/>
        </w:tc>
        <w:tc>
          <w:tcPr>
            <w:tcW w:w="1033" w:type="pct"/>
            <w:tcBorders>
              <w:left w:val="single" w:sz="18" w:space="0" w:color="auto"/>
              <w:right w:val="single" w:sz="18" w:space="0" w:color="auto"/>
            </w:tcBorders>
          </w:tcPr>
          <w:p w14:paraId="0B23DFE5" w14:textId="658E04E5" w:rsidR="0050555F" w:rsidRDefault="0050555F">
            <w:r>
              <w:t>Qualified Small Business Stock</w:t>
            </w:r>
          </w:p>
        </w:tc>
      </w:tr>
      <w:tr w:rsidR="0050555F" w14:paraId="04458470" w14:textId="77777777" w:rsidTr="0050555F">
        <w:tc>
          <w:tcPr>
            <w:tcW w:w="197" w:type="pct"/>
            <w:tcBorders>
              <w:left w:val="single" w:sz="18" w:space="0" w:color="auto"/>
              <w:right w:val="single" w:sz="18" w:space="0" w:color="auto"/>
            </w:tcBorders>
          </w:tcPr>
          <w:p w14:paraId="2479A5E4" w14:textId="77777777" w:rsidR="0050555F" w:rsidRDefault="0050555F"/>
        </w:tc>
        <w:tc>
          <w:tcPr>
            <w:tcW w:w="1052" w:type="pct"/>
            <w:tcBorders>
              <w:left w:val="single" w:sz="18" w:space="0" w:color="auto"/>
              <w:right w:val="single" w:sz="18" w:space="0" w:color="auto"/>
            </w:tcBorders>
          </w:tcPr>
          <w:p w14:paraId="14F89642" w14:textId="3C159ECB" w:rsidR="0050555F" w:rsidRDefault="0050555F"/>
        </w:tc>
        <w:tc>
          <w:tcPr>
            <w:tcW w:w="206" w:type="pct"/>
            <w:tcBorders>
              <w:left w:val="single" w:sz="18" w:space="0" w:color="auto"/>
            </w:tcBorders>
          </w:tcPr>
          <w:p w14:paraId="30FC1020" w14:textId="77777777" w:rsidR="0050555F" w:rsidRDefault="0050555F"/>
        </w:tc>
        <w:tc>
          <w:tcPr>
            <w:tcW w:w="1045" w:type="pct"/>
            <w:tcBorders>
              <w:left w:val="single" w:sz="18" w:space="0" w:color="auto"/>
              <w:right w:val="single" w:sz="18" w:space="0" w:color="auto"/>
            </w:tcBorders>
          </w:tcPr>
          <w:p w14:paraId="1FA9148E" w14:textId="6F3DCD5B" w:rsidR="0050555F" w:rsidRDefault="0050555F"/>
        </w:tc>
        <w:tc>
          <w:tcPr>
            <w:tcW w:w="211" w:type="pct"/>
            <w:tcBorders>
              <w:left w:val="single" w:sz="18" w:space="0" w:color="auto"/>
              <w:right w:val="single" w:sz="18" w:space="0" w:color="auto"/>
            </w:tcBorders>
          </w:tcPr>
          <w:p w14:paraId="407EB880" w14:textId="77777777" w:rsidR="0050555F" w:rsidRDefault="0050555F"/>
        </w:tc>
        <w:tc>
          <w:tcPr>
            <w:tcW w:w="1039" w:type="pct"/>
            <w:tcBorders>
              <w:left w:val="single" w:sz="18" w:space="0" w:color="auto"/>
              <w:right w:val="single" w:sz="18" w:space="0" w:color="auto"/>
            </w:tcBorders>
          </w:tcPr>
          <w:p w14:paraId="3486565E" w14:textId="2ED51B22" w:rsidR="0050555F" w:rsidRDefault="0050555F"/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14:paraId="739CDDE2" w14:textId="77777777" w:rsidR="0050555F" w:rsidRDefault="0050555F"/>
        </w:tc>
        <w:tc>
          <w:tcPr>
            <w:tcW w:w="1033" w:type="pct"/>
            <w:tcBorders>
              <w:left w:val="single" w:sz="18" w:space="0" w:color="auto"/>
              <w:right w:val="single" w:sz="18" w:space="0" w:color="auto"/>
            </w:tcBorders>
          </w:tcPr>
          <w:p w14:paraId="20AC1244" w14:textId="5A8B1DB1" w:rsidR="0050555F" w:rsidRDefault="0050555F">
            <w:r>
              <w:t>CFIUS representation</w:t>
            </w:r>
          </w:p>
        </w:tc>
      </w:tr>
    </w:tbl>
    <w:p w14:paraId="2EAEFDED" w14:textId="5C155FA3" w:rsidR="002231C1" w:rsidRDefault="002231C1"/>
    <w:p w14:paraId="3B02DD29" w14:textId="77EB4BC7" w:rsidR="002D5497" w:rsidRDefault="002D5497"/>
    <w:p w14:paraId="18C701FD" w14:textId="72A91E08" w:rsidR="002D5497" w:rsidRDefault="002D5497">
      <w:r>
        <w:t>Instructions:  check each box where the reviewer has verified the term is in place</w:t>
      </w:r>
      <w:r w:rsidR="00BB1B4D">
        <w:t xml:space="preserve"> and provides adequate protection</w:t>
      </w:r>
      <w:r>
        <w:t>.  The investor must decide when the term is not in place</w:t>
      </w:r>
      <w:r w:rsidR="00BB1B4D">
        <w:t xml:space="preserve">, or in place but not </w:t>
      </w:r>
      <w:r w:rsidR="009E45D1">
        <w:t xml:space="preserve">satisfactory, </w:t>
      </w:r>
      <w:proofErr w:type="gramStart"/>
      <w:r w:rsidR="009E45D1">
        <w:t>whether</w:t>
      </w:r>
      <w:r>
        <w:t xml:space="preserve"> or not</w:t>
      </w:r>
      <w:proofErr w:type="gramEnd"/>
      <w:r>
        <w:t xml:space="preserve"> to proceed</w:t>
      </w:r>
      <w:r w:rsidR="00BB1B4D">
        <w:t>.</w:t>
      </w:r>
      <w:r>
        <w:t xml:space="preserve"> </w:t>
      </w:r>
    </w:p>
    <w:p w14:paraId="78F6FF38" w14:textId="2A69B802" w:rsidR="000D1E9C" w:rsidRDefault="000D1E9C"/>
    <w:p w14:paraId="048950CD" w14:textId="77777777" w:rsidR="000D1E9C" w:rsidRDefault="000D1E9C" w:rsidP="000D1E9C">
      <w:pPr>
        <w:rPr>
          <w:rStyle w:val="Hyperlink"/>
        </w:rPr>
      </w:pPr>
      <w:r>
        <w:t xml:space="preserve">Available for download at </w:t>
      </w:r>
      <w:hyperlink r:id="rId7" w:history="1">
        <w:r w:rsidRPr="000D328F">
          <w:rPr>
            <w:rStyle w:val="Hyperlink"/>
          </w:rPr>
          <w:t>https://www.looncreekcapital.com/resources</w:t>
        </w:r>
      </w:hyperlink>
    </w:p>
    <w:p w14:paraId="34C4FF77" w14:textId="77777777" w:rsidR="000D1E9C" w:rsidRDefault="000D1E9C"/>
    <w:p w14:paraId="746025D2" w14:textId="77777777" w:rsidR="00D20345" w:rsidRDefault="00D20345" w:rsidP="00820F56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99DEEB6" w14:textId="77777777" w:rsidR="00703A63" w:rsidRDefault="00703A63" w:rsidP="00D20345">
      <w:pPr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5650910" w14:textId="433F471C" w:rsidR="00D20345" w:rsidRPr="00D20345" w:rsidRDefault="00D20345" w:rsidP="00D20345">
      <w:pPr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20345">
        <w:rPr>
          <w:rFonts w:ascii="Arial" w:eastAsia="Times New Roman" w:hAnsi="Arial" w:cs="Arial"/>
          <w:color w:val="000000"/>
          <w:sz w:val="20"/>
          <w:szCs w:val="20"/>
        </w:rPr>
        <w:t>© 2021 by Loon Creek Capital Group, LLC</w:t>
      </w:r>
    </w:p>
    <w:sectPr w:rsidR="00D20345" w:rsidRPr="00D20345" w:rsidSect="00820F56"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58AC" w14:textId="77777777" w:rsidR="001A28F3" w:rsidRDefault="001A28F3" w:rsidP="002D5497">
      <w:r>
        <w:separator/>
      </w:r>
    </w:p>
  </w:endnote>
  <w:endnote w:type="continuationSeparator" w:id="0">
    <w:p w14:paraId="4ABE7286" w14:textId="77777777" w:rsidR="001A28F3" w:rsidRDefault="001A28F3" w:rsidP="002D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FF41" w14:textId="1CDFF5F7" w:rsidR="002D5497" w:rsidRDefault="00D20345" w:rsidP="00D20345">
    <w:pPr>
      <w:pStyle w:val="Footer"/>
      <w:jc w:val="center"/>
    </w:pPr>
    <w:r>
      <w:t>www.looncreekcapital.com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807E" w14:textId="46E3DAEC" w:rsidR="00820F56" w:rsidRDefault="00820F56" w:rsidP="00820F56">
    <w:pPr>
      <w:pStyle w:val="Footer"/>
      <w:jc w:val="center"/>
    </w:pPr>
    <w:r>
      <w:t>www.looncree</w:t>
    </w:r>
    <w:r w:rsidR="005A7C6C">
      <w:t>kca</w:t>
    </w:r>
    <w:r>
      <w:t>pital.com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A7B6" w14:textId="77777777" w:rsidR="001A28F3" w:rsidRDefault="001A28F3" w:rsidP="002D5497">
      <w:r>
        <w:separator/>
      </w:r>
    </w:p>
  </w:footnote>
  <w:footnote w:type="continuationSeparator" w:id="0">
    <w:p w14:paraId="21007ECC" w14:textId="77777777" w:rsidR="001A28F3" w:rsidRDefault="001A28F3" w:rsidP="002D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FB60" w14:textId="3B11B6FA" w:rsidR="004011F3" w:rsidRDefault="004011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A5661E" wp14:editId="6109E29F">
          <wp:simplePos x="0" y="0"/>
          <wp:positionH relativeFrom="margin">
            <wp:posOffset>3086100</wp:posOffset>
          </wp:positionH>
          <wp:positionV relativeFrom="paragraph">
            <wp:posOffset>-304800</wp:posOffset>
          </wp:positionV>
          <wp:extent cx="2065655" cy="762635"/>
          <wp:effectExtent l="0" t="0" r="0" b="0"/>
          <wp:wrapTight wrapText="bothSides">
            <wp:wrapPolygon edited="0">
              <wp:start x="19123" y="0"/>
              <wp:lineTo x="0" y="0"/>
              <wp:lineTo x="0" y="9172"/>
              <wp:lineTo x="5179" y="17266"/>
              <wp:lineTo x="10358" y="19963"/>
              <wp:lineTo x="10956" y="21042"/>
              <wp:lineTo x="13745" y="21042"/>
              <wp:lineTo x="13944" y="19963"/>
              <wp:lineTo x="21314" y="9712"/>
              <wp:lineTo x="21314" y="2698"/>
              <wp:lineTo x="20119" y="0"/>
              <wp:lineTo x="19123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65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C1"/>
    <w:rsid w:val="000334AD"/>
    <w:rsid w:val="00045656"/>
    <w:rsid w:val="00061BB8"/>
    <w:rsid w:val="000D1E9C"/>
    <w:rsid w:val="000D328F"/>
    <w:rsid w:val="000E69B6"/>
    <w:rsid w:val="00126329"/>
    <w:rsid w:val="001A28F3"/>
    <w:rsid w:val="002231C1"/>
    <w:rsid w:val="002D5497"/>
    <w:rsid w:val="00377109"/>
    <w:rsid w:val="004011F3"/>
    <w:rsid w:val="0043647B"/>
    <w:rsid w:val="0050555F"/>
    <w:rsid w:val="005A7C6C"/>
    <w:rsid w:val="005B1DA3"/>
    <w:rsid w:val="006A67A7"/>
    <w:rsid w:val="00703A63"/>
    <w:rsid w:val="00820F56"/>
    <w:rsid w:val="009E45D1"/>
    <w:rsid w:val="00BB1B4D"/>
    <w:rsid w:val="00BF7C9D"/>
    <w:rsid w:val="00CE03F0"/>
    <w:rsid w:val="00D20345"/>
    <w:rsid w:val="00D71358"/>
    <w:rsid w:val="00E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77E94"/>
  <w15:chartTrackingRefBased/>
  <w15:docId w15:val="{57202F28-486A-BA49-8DC4-A4B71ED9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497"/>
  </w:style>
  <w:style w:type="paragraph" w:styleId="Footer">
    <w:name w:val="footer"/>
    <w:basedOn w:val="Normal"/>
    <w:link w:val="FooterChar"/>
    <w:uiPriority w:val="99"/>
    <w:unhideWhenUsed/>
    <w:rsid w:val="002D5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497"/>
  </w:style>
  <w:style w:type="character" w:styleId="Hyperlink">
    <w:name w:val="Hyperlink"/>
    <w:basedOn w:val="DefaultParagraphFont"/>
    <w:uiPriority w:val="99"/>
    <w:unhideWhenUsed/>
    <w:rsid w:val="000D3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looncreekcapital.com/resourc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@looncreekcapita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 LEARNED</dc:creator>
  <cp:keywords/>
  <dc:description/>
  <cp:lastModifiedBy>Loon Creek</cp:lastModifiedBy>
  <cp:revision>2</cp:revision>
  <cp:lastPrinted>2021-09-29T18:23:00Z</cp:lastPrinted>
  <dcterms:created xsi:type="dcterms:W3CDTF">2021-09-29T19:45:00Z</dcterms:created>
  <dcterms:modified xsi:type="dcterms:W3CDTF">2021-09-29T19:45:00Z</dcterms:modified>
</cp:coreProperties>
</file>